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C0FE7">
      <w:pPr>
        <w:spacing w:line="360" w:lineRule="auto"/>
        <w:jc w:val="center"/>
        <w:rPr>
          <w:rFonts w:hint="eastAsia" w:ascii="宋体" w:hAnsi="宋体"/>
          <w:b/>
          <w:sz w:val="24"/>
        </w:rPr>
      </w:pPr>
      <w:r>
        <w:rPr>
          <w:rFonts w:ascii="宋体" w:hAnsi="宋体"/>
          <w:b/>
          <w:sz w:val="24"/>
        </w:rPr>
        <w:t>项目需求书</w:t>
      </w:r>
      <w:r>
        <w:rPr>
          <w:rFonts w:hint="eastAsia" w:ascii="宋体" w:hAnsi="宋体"/>
          <w:b/>
          <w:sz w:val="24"/>
        </w:rPr>
        <w:t>（天津市河北区人民法院法院</w:t>
      </w:r>
      <w:r>
        <w:rPr>
          <w:rFonts w:hint="eastAsia" w:ascii="宋体" w:hAnsi="宋体" w:cs="宋体"/>
          <w:b/>
          <w:kern w:val="0"/>
          <w:sz w:val="24"/>
        </w:rPr>
        <w:t>智慧庭审</w:t>
      </w:r>
      <w:r>
        <w:rPr>
          <w:rFonts w:hint="eastAsia" w:ascii="宋体" w:hAnsi="宋体"/>
          <w:b/>
          <w:sz w:val="24"/>
        </w:rPr>
        <w:t>改造项目）</w:t>
      </w:r>
    </w:p>
    <w:p w14:paraId="239657CC">
      <w:pPr>
        <w:pStyle w:val="7"/>
        <w:spacing w:line="360" w:lineRule="auto"/>
        <w:ind w:firstLine="480" w:firstLineChars="200"/>
        <w:jc w:val="both"/>
        <w:rPr>
          <w:rFonts w:ascii="宋体" w:hAnsi="宋体" w:eastAsia="宋体" w:cs="Times New Roman"/>
          <w:color w:val="auto"/>
        </w:rPr>
      </w:pPr>
      <w:r>
        <w:rPr>
          <w:rFonts w:hint="eastAsia" w:ascii="宋体" w:hAnsi="宋体" w:eastAsia="宋体" w:cs="Times New Roman"/>
          <w:color w:val="auto"/>
        </w:rPr>
        <w:t>一、项目背景</w:t>
      </w:r>
    </w:p>
    <w:p w14:paraId="567E42FB">
      <w:pPr>
        <w:spacing w:line="588" w:lineRule="exact"/>
        <w:ind w:firstLine="480" w:firstLineChars="200"/>
        <w:rPr>
          <w:rFonts w:hint="eastAsia" w:ascii="Times New Roman" w:hAnsi="Times New Roman"/>
          <w:kern w:val="0"/>
          <w:sz w:val="24"/>
        </w:rPr>
      </w:pPr>
      <w:r>
        <w:rPr>
          <w:rFonts w:hint="eastAsia" w:ascii="Times New Roman" w:hAnsi="Times New Roman"/>
          <w:kern w:val="0"/>
          <w:sz w:val="24"/>
        </w:rPr>
        <w:t>在信息技术飞速发展的当下，法院</w:t>
      </w:r>
      <w:r>
        <w:rPr>
          <w:rFonts w:hint="eastAsia" w:ascii="宋体" w:hAnsi="宋体" w:cs="宋体"/>
          <w:kern w:val="0"/>
          <w:sz w:val="24"/>
        </w:rPr>
        <w:t>智慧庭审软件</w:t>
      </w:r>
      <w:r>
        <w:rPr>
          <w:rFonts w:hint="eastAsia" w:ascii="Times New Roman" w:hAnsi="Times New Roman"/>
          <w:kern w:val="0"/>
          <w:sz w:val="24"/>
        </w:rPr>
        <w:t>是新时代法院文化建设的重要载体，对于提升法院队伍凝聚力、传播司法正能量具有重要意义。主要体现在思想引领阵地建设、司法文化传播功能、队伍凝聚力工程、司法形象塑造。</w:t>
      </w:r>
    </w:p>
    <w:p w14:paraId="170CF44B">
      <w:pPr>
        <w:pStyle w:val="7"/>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本项目服务器属于工业，数据库软件、中间件软件。</w:t>
      </w:r>
    </w:p>
    <w:p w14:paraId="6DB59240">
      <w:pPr>
        <w:pStyle w:val="7"/>
        <w:numPr>
          <w:ilvl w:val="0"/>
          <w:numId w:val="1"/>
        </w:numPr>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项目预算</w:t>
      </w:r>
    </w:p>
    <w:p w14:paraId="233928B8">
      <w:pPr>
        <w:spacing w:line="360" w:lineRule="auto"/>
        <w:ind w:firstLine="480" w:firstLineChars="200"/>
        <w:rPr>
          <w:rFonts w:hint="eastAsia" w:ascii="Times New Roman" w:hAnsi="Times New Roman"/>
          <w:sz w:val="24"/>
        </w:rPr>
      </w:pPr>
      <w:r>
        <w:rPr>
          <w:rFonts w:hint="eastAsia" w:ascii="Times New Roman" w:hAnsi="Times New Roman"/>
          <w:sz w:val="24"/>
        </w:rPr>
        <w:t>数据库及中间件软件，预算9万元。其中数据库单价50000元，数量1套，其中中间件单价40000元，数量1套，</w:t>
      </w:r>
    </w:p>
    <w:p w14:paraId="28488FA2">
      <w:pPr>
        <w:pStyle w:val="7"/>
        <w:spacing w:line="360" w:lineRule="auto"/>
        <w:jc w:val="both"/>
        <w:rPr>
          <w:rFonts w:ascii="Times New Roman" w:hAnsi="Times New Roman" w:eastAsia="宋体" w:cs="Times New Roman"/>
          <w:color w:val="auto"/>
        </w:rPr>
      </w:pPr>
    </w:p>
    <w:p w14:paraId="0366D4A9">
      <w:pPr>
        <w:pStyle w:val="7"/>
        <w:spacing w:line="360" w:lineRule="auto"/>
        <w:ind w:firstLine="480" w:firstLineChars="200"/>
        <w:jc w:val="both"/>
        <w:rPr>
          <w:rFonts w:hint="eastAsia" w:ascii="宋体" w:hAnsi="宋体" w:eastAsia="宋体" w:cs="Times New Roman"/>
          <w:color w:val="auto"/>
        </w:rPr>
      </w:pPr>
    </w:p>
    <w:p w14:paraId="6E39E33B">
      <w:pPr>
        <w:pStyle w:val="7"/>
        <w:spacing w:line="360" w:lineRule="auto"/>
        <w:ind w:firstLine="480" w:firstLineChars="200"/>
        <w:jc w:val="both"/>
        <w:rPr>
          <w:rFonts w:ascii="宋体" w:hAnsi="宋体" w:eastAsia="宋体" w:cs="Times New Roman"/>
          <w:color w:val="auto"/>
        </w:rPr>
      </w:pPr>
      <w:r>
        <w:rPr>
          <w:rFonts w:hint="eastAsia" w:ascii="宋体" w:hAnsi="宋体" w:eastAsia="宋体" w:cs="Times New Roman"/>
          <w:color w:val="auto"/>
        </w:rPr>
        <w:t>三、采购清单</w:t>
      </w:r>
    </w:p>
    <w:p w14:paraId="39EA6253">
      <w:pPr>
        <w:pStyle w:val="7"/>
        <w:spacing w:line="360" w:lineRule="auto"/>
        <w:ind w:firstLine="480" w:firstLineChars="200"/>
        <w:jc w:val="both"/>
        <w:rPr>
          <w:rFonts w:ascii="宋体" w:hAnsi="宋体" w:eastAsia="宋体" w:cs="Times New Roman"/>
          <w:color w:val="auto"/>
        </w:rPr>
      </w:pPr>
      <w:r>
        <w:rPr>
          <w:rFonts w:hint="eastAsia" w:ascii="宋体" w:hAnsi="宋体" w:eastAsia="宋体" w:cs="Times New Roman"/>
          <w:color w:val="auto"/>
        </w:rPr>
        <w:t>注：</w:t>
      </w:r>
    </w:p>
    <w:p w14:paraId="6F4AA4FA">
      <w:pPr>
        <w:pStyle w:val="7"/>
        <w:spacing w:line="360" w:lineRule="auto"/>
        <w:ind w:firstLine="480" w:firstLineChars="200"/>
        <w:jc w:val="both"/>
        <w:rPr>
          <w:rFonts w:ascii="宋体" w:hAnsi="宋体" w:eastAsia="宋体" w:cs="Times New Roman"/>
          <w:color w:val="auto"/>
        </w:rPr>
      </w:pPr>
      <w:r>
        <w:rPr>
          <w:rFonts w:hint="eastAsia" w:ascii="宋体" w:hAnsi="宋体" w:eastAsia="宋体" w:cs="Times New Roman"/>
          <w:color w:val="auto"/>
        </w:rPr>
        <w:t>加注“★”号条款为实质性条款，不得出现负偏离，发生负偏离即做无效标处理。</w:t>
      </w:r>
    </w:p>
    <w:p w14:paraId="115A782E">
      <w:pPr>
        <w:pStyle w:val="7"/>
        <w:spacing w:line="360" w:lineRule="auto"/>
        <w:ind w:firstLine="480" w:firstLineChars="200"/>
        <w:jc w:val="both"/>
        <w:rPr>
          <w:rFonts w:ascii="宋体" w:hAnsi="宋体" w:eastAsia="宋体" w:cs="Times New Roman"/>
          <w:color w:val="auto"/>
        </w:rPr>
      </w:pPr>
      <w:r>
        <w:rPr>
          <w:rFonts w:hint="eastAsia" w:ascii="宋体" w:hAnsi="宋体" w:eastAsia="宋体" w:cs="Times New Roman"/>
          <w:color w:val="auto"/>
        </w:rPr>
        <w:t>加注“■”号的产品属于现行节能产品政府采购强制采购的产品，投标人只能选择符合按照《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等文件要求的强制采购的节能产品进行投标，并提供相关认证证书复印件，否则不予认定。未加注“■”号的产品均不属于节能产品政府采购强制采购的产品。如供应商对此有异议，请按照竞争性谈判文件第三部分《投标须知》“8. 询问与质疑”的相关规定，以书面形式向采购人提出质疑，否则视为认同本文件中关于节能产品政府采购强制采购产品范围的划定。</w:t>
      </w:r>
    </w:p>
    <w:p w14:paraId="23BE0C0E">
      <w:pPr>
        <w:pStyle w:val="7"/>
        <w:spacing w:line="360" w:lineRule="auto"/>
        <w:jc w:val="both"/>
        <w:rPr>
          <w:rFonts w:hint="eastAsia" w:ascii="宋体" w:hAnsi="宋体" w:eastAsia="宋体" w:cs="Times New Roman"/>
          <w:color w:val="auto"/>
        </w:rPr>
      </w:pPr>
    </w:p>
    <w:p w14:paraId="6CCCEC8D">
      <w:pPr>
        <w:pStyle w:val="7"/>
        <w:spacing w:line="360" w:lineRule="auto"/>
        <w:jc w:val="both"/>
        <w:rPr>
          <w:rFonts w:hint="eastAsia" w:ascii="宋体" w:hAnsi="宋体" w:eastAsia="宋体" w:cs="Times New Roman"/>
          <w:color w:val="auto"/>
        </w:rPr>
      </w:pPr>
    </w:p>
    <w:p w14:paraId="7A79F048">
      <w:pPr>
        <w:pStyle w:val="7"/>
        <w:spacing w:line="360" w:lineRule="auto"/>
        <w:jc w:val="both"/>
        <w:rPr>
          <w:rFonts w:hint="eastAsia" w:ascii="宋体" w:hAnsi="宋体" w:eastAsia="宋体" w:cs="Times New Roman"/>
          <w:color w:val="auto"/>
        </w:rPr>
      </w:pPr>
    </w:p>
    <w:p w14:paraId="10C6EC81">
      <w:pPr>
        <w:pStyle w:val="7"/>
        <w:spacing w:line="360" w:lineRule="auto"/>
        <w:jc w:val="both"/>
        <w:rPr>
          <w:rFonts w:ascii="宋体" w:hAnsi="宋体" w:eastAsia="宋体" w:cs="Times New Roman"/>
          <w:color w:val="auto"/>
        </w:rPr>
      </w:pPr>
      <w:r>
        <w:rPr>
          <w:rFonts w:hint="eastAsia" w:ascii="宋体" w:hAnsi="宋体" w:eastAsia="宋体" w:cs="Times New Roman"/>
          <w:color w:val="auto"/>
        </w:rPr>
        <w:t>第一包：数据库软件1套、中间软件1套</w:t>
      </w:r>
    </w:p>
    <w:tbl>
      <w:tblPr>
        <w:tblStyle w:val="5"/>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956"/>
        <w:gridCol w:w="912"/>
        <w:gridCol w:w="544"/>
        <w:gridCol w:w="6016"/>
      </w:tblGrid>
      <w:tr w14:paraId="2354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blHeader/>
          <w:jc w:val="center"/>
        </w:trPr>
        <w:tc>
          <w:tcPr>
            <w:tcW w:w="664" w:type="dxa"/>
            <w:tcBorders>
              <w:top w:val="single" w:color="auto" w:sz="4" w:space="0"/>
              <w:left w:val="single" w:color="auto" w:sz="4" w:space="0"/>
              <w:bottom w:val="single" w:color="auto" w:sz="4" w:space="0"/>
              <w:right w:val="single" w:color="auto" w:sz="4" w:space="0"/>
            </w:tcBorders>
            <w:vAlign w:val="center"/>
          </w:tcPr>
          <w:p w14:paraId="1B03E939">
            <w:pPr>
              <w:widowControl/>
              <w:spacing w:line="360" w:lineRule="auto"/>
              <w:jc w:val="center"/>
              <w:rPr>
                <w:rFonts w:hint="eastAsia" w:ascii="宋体" w:hAnsi="宋体" w:cs="宋体"/>
                <w:kern w:val="0"/>
                <w:sz w:val="24"/>
              </w:rPr>
            </w:pPr>
            <w:r>
              <w:rPr>
                <w:rFonts w:hint="eastAsia" w:ascii="宋体" w:hAnsi="宋体" w:cs="宋体"/>
                <w:kern w:val="0"/>
                <w:sz w:val="24"/>
              </w:rPr>
              <w:t>序号</w:t>
            </w:r>
          </w:p>
        </w:tc>
        <w:tc>
          <w:tcPr>
            <w:tcW w:w="956" w:type="dxa"/>
            <w:tcBorders>
              <w:top w:val="single" w:color="auto" w:sz="4" w:space="0"/>
              <w:left w:val="single" w:color="auto" w:sz="4" w:space="0"/>
              <w:bottom w:val="single" w:color="auto" w:sz="4" w:space="0"/>
              <w:right w:val="single" w:color="auto" w:sz="4" w:space="0"/>
            </w:tcBorders>
            <w:vAlign w:val="center"/>
          </w:tcPr>
          <w:p w14:paraId="58B3BBF2">
            <w:pPr>
              <w:widowControl/>
              <w:spacing w:line="360" w:lineRule="auto"/>
              <w:jc w:val="center"/>
              <w:rPr>
                <w:rFonts w:hint="eastAsia" w:ascii="宋体" w:hAnsi="宋体" w:cs="宋体"/>
                <w:kern w:val="0"/>
                <w:sz w:val="24"/>
              </w:rPr>
            </w:pPr>
            <w:r>
              <w:rPr>
                <w:rFonts w:hint="eastAsia" w:ascii="宋体" w:hAnsi="宋体" w:cs="宋体"/>
                <w:kern w:val="0"/>
                <w:sz w:val="24"/>
              </w:rPr>
              <w:t>标的名称</w:t>
            </w:r>
          </w:p>
        </w:tc>
        <w:tc>
          <w:tcPr>
            <w:tcW w:w="912" w:type="dxa"/>
            <w:tcBorders>
              <w:top w:val="single" w:color="auto" w:sz="4" w:space="0"/>
              <w:left w:val="single" w:color="auto" w:sz="4" w:space="0"/>
              <w:bottom w:val="single" w:color="auto" w:sz="4" w:space="0"/>
              <w:right w:val="single" w:color="auto" w:sz="4" w:space="0"/>
            </w:tcBorders>
            <w:vAlign w:val="center"/>
          </w:tcPr>
          <w:p w14:paraId="28FF1D0A">
            <w:pPr>
              <w:widowControl/>
              <w:spacing w:line="360" w:lineRule="auto"/>
              <w:jc w:val="center"/>
              <w:rPr>
                <w:rFonts w:hint="eastAsia" w:ascii="宋体" w:hAnsi="宋体" w:cs="宋体"/>
                <w:kern w:val="0"/>
                <w:sz w:val="24"/>
              </w:rPr>
            </w:pPr>
            <w:r>
              <w:rPr>
                <w:rFonts w:hint="eastAsia" w:ascii="宋体" w:hAnsi="宋体" w:cs="宋体"/>
                <w:kern w:val="0"/>
                <w:sz w:val="24"/>
              </w:rPr>
              <w:t>数量</w:t>
            </w:r>
          </w:p>
        </w:tc>
        <w:tc>
          <w:tcPr>
            <w:tcW w:w="544" w:type="dxa"/>
            <w:tcBorders>
              <w:top w:val="single" w:color="auto" w:sz="4" w:space="0"/>
              <w:left w:val="single" w:color="auto" w:sz="4" w:space="0"/>
              <w:bottom w:val="single" w:color="auto" w:sz="4" w:space="0"/>
              <w:right w:val="single" w:color="auto" w:sz="4" w:space="0"/>
            </w:tcBorders>
            <w:vAlign w:val="center"/>
          </w:tcPr>
          <w:p w14:paraId="2DBECB53">
            <w:pPr>
              <w:widowControl/>
              <w:spacing w:line="360" w:lineRule="auto"/>
              <w:jc w:val="center"/>
              <w:rPr>
                <w:rFonts w:hint="eastAsia" w:ascii="宋体" w:hAnsi="宋体" w:cs="宋体"/>
                <w:kern w:val="0"/>
                <w:sz w:val="24"/>
              </w:rPr>
            </w:pPr>
            <w:r>
              <w:rPr>
                <w:rFonts w:hint="eastAsia" w:ascii="宋体" w:hAnsi="宋体" w:cs="宋体"/>
                <w:kern w:val="0"/>
                <w:sz w:val="24"/>
              </w:rPr>
              <w:t>单位</w:t>
            </w:r>
          </w:p>
        </w:tc>
        <w:tc>
          <w:tcPr>
            <w:tcW w:w="6016" w:type="dxa"/>
            <w:tcBorders>
              <w:top w:val="single" w:color="auto" w:sz="4" w:space="0"/>
              <w:left w:val="single" w:color="auto" w:sz="4" w:space="0"/>
              <w:bottom w:val="single" w:color="auto" w:sz="4" w:space="0"/>
              <w:right w:val="single" w:color="auto" w:sz="4" w:space="0"/>
            </w:tcBorders>
            <w:vAlign w:val="center"/>
          </w:tcPr>
          <w:p w14:paraId="1D8569E6">
            <w:pPr>
              <w:widowControl/>
              <w:spacing w:line="360" w:lineRule="auto"/>
              <w:jc w:val="center"/>
              <w:rPr>
                <w:rFonts w:hint="eastAsia" w:ascii="宋体" w:hAnsi="宋体" w:cs="宋体"/>
                <w:kern w:val="0"/>
                <w:sz w:val="24"/>
              </w:rPr>
            </w:pPr>
            <w:r>
              <w:rPr>
                <w:rFonts w:hint="eastAsia" w:ascii="宋体" w:hAnsi="宋体" w:cs="宋体"/>
                <w:kern w:val="0"/>
                <w:sz w:val="24"/>
              </w:rPr>
              <w:t>需求条款</w:t>
            </w:r>
          </w:p>
        </w:tc>
      </w:tr>
      <w:tr w14:paraId="5687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vAlign w:val="center"/>
          </w:tcPr>
          <w:p w14:paraId="20029D30">
            <w:pPr>
              <w:widowControl/>
              <w:spacing w:line="360" w:lineRule="auto"/>
              <w:jc w:val="center"/>
              <w:rPr>
                <w:rFonts w:hint="eastAsia" w:ascii="宋体" w:hAnsi="宋体" w:cs="宋体"/>
                <w:kern w:val="0"/>
                <w:sz w:val="24"/>
              </w:rPr>
            </w:pPr>
            <w:r>
              <w:rPr>
                <w:rFonts w:hint="eastAsia" w:ascii="宋体" w:hAnsi="宋体" w:cs="宋体"/>
                <w:kern w:val="0"/>
                <w:sz w:val="24"/>
              </w:rPr>
              <w:t>1</w:t>
            </w:r>
          </w:p>
        </w:tc>
        <w:tc>
          <w:tcPr>
            <w:tcW w:w="956" w:type="dxa"/>
            <w:tcBorders>
              <w:top w:val="single" w:color="auto" w:sz="4" w:space="0"/>
              <w:left w:val="single" w:color="auto" w:sz="4" w:space="0"/>
              <w:bottom w:val="single" w:color="auto" w:sz="4" w:space="0"/>
              <w:right w:val="single" w:color="auto" w:sz="4" w:space="0"/>
            </w:tcBorders>
            <w:vAlign w:val="center"/>
          </w:tcPr>
          <w:p w14:paraId="5F93A42E">
            <w:pPr>
              <w:widowControl/>
              <w:spacing w:line="360" w:lineRule="auto"/>
              <w:jc w:val="center"/>
              <w:rPr>
                <w:rFonts w:hint="eastAsia" w:ascii="宋体" w:hAnsi="宋体" w:cs="宋体"/>
                <w:kern w:val="0"/>
                <w:sz w:val="24"/>
              </w:rPr>
            </w:pPr>
            <w:r>
              <w:rPr>
                <w:rFonts w:hint="eastAsia" w:ascii="宋体" w:hAnsi="宋体" w:cs="宋体"/>
                <w:kern w:val="0"/>
                <w:sz w:val="24"/>
              </w:rPr>
              <w:t>数据库软件</w:t>
            </w:r>
          </w:p>
        </w:tc>
        <w:tc>
          <w:tcPr>
            <w:tcW w:w="912" w:type="dxa"/>
            <w:tcBorders>
              <w:top w:val="single" w:color="auto" w:sz="4" w:space="0"/>
              <w:left w:val="single" w:color="auto" w:sz="4" w:space="0"/>
              <w:bottom w:val="single" w:color="auto" w:sz="4" w:space="0"/>
              <w:right w:val="single" w:color="auto" w:sz="4" w:space="0"/>
            </w:tcBorders>
            <w:vAlign w:val="center"/>
          </w:tcPr>
          <w:p w14:paraId="496DC88C">
            <w:pPr>
              <w:spacing w:line="360" w:lineRule="auto"/>
              <w:jc w:val="center"/>
              <w:rPr>
                <w:rFonts w:hint="eastAsia" w:ascii="宋体" w:hAnsi="宋体" w:cs="宋体"/>
                <w:kern w:val="0"/>
                <w:sz w:val="24"/>
              </w:rPr>
            </w:pPr>
            <w:r>
              <w:rPr>
                <w:rFonts w:hint="eastAsia" w:ascii="宋体" w:hAnsi="宋体" w:cs="宋体"/>
                <w:kern w:val="0"/>
                <w:sz w:val="24"/>
              </w:rPr>
              <w:t>1</w:t>
            </w:r>
          </w:p>
        </w:tc>
        <w:tc>
          <w:tcPr>
            <w:tcW w:w="544" w:type="dxa"/>
            <w:tcBorders>
              <w:top w:val="single" w:color="auto" w:sz="4" w:space="0"/>
              <w:left w:val="single" w:color="auto" w:sz="4" w:space="0"/>
              <w:bottom w:val="single" w:color="auto" w:sz="4" w:space="0"/>
              <w:right w:val="single" w:color="auto" w:sz="4" w:space="0"/>
            </w:tcBorders>
            <w:vAlign w:val="center"/>
          </w:tcPr>
          <w:p w14:paraId="67C8BD11">
            <w:pPr>
              <w:spacing w:line="360" w:lineRule="auto"/>
              <w:jc w:val="center"/>
              <w:rPr>
                <w:rFonts w:hint="eastAsia" w:ascii="宋体" w:hAnsi="宋体" w:cs="宋体"/>
                <w:kern w:val="0"/>
                <w:sz w:val="24"/>
              </w:rPr>
            </w:pPr>
            <w:r>
              <w:rPr>
                <w:rFonts w:hint="eastAsia" w:ascii="宋体" w:hAnsi="宋体" w:cs="宋体"/>
                <w:kern w:val="0"/>
                <w:sz w:val="24"/>
              </w:rPr>
              <w:t>套</w:t>
            </w:r>
          </w:p>
        </w:tc>
        <w:tc>
          <w:tcPr>
            <w:tcW w:w="6016" w:type="dxa"/>
            <w:tcBorders>
              <w:top w:val="single" w:color="auto" w:sz="4" w:space="0"/>
              <w:left w:val="single" w:color="auto" w:sz="4" w:space="0"/>
              <w:bottom w:val="single" w:color="auto" w:sz="4" w:space="0"/>
              <w:right w:val="single" w:color="auto" w:sz="4" w:space="0"/>
            </w:tcBorders>
            <w:vAlign w:val="center"/>
          </w:tcPr>
          <w:p w14:paraId="4DBB0D5F">
            <w:pPr>
              <w:rPr>
                <w:rFonts w:hint="eastAsia"/>
                <w:sz w:val="24"/>
              </w:rPr>
            </w:pPr>
            <w:r>
              <w:rPr>
                <w:rFonts w:hint="eastAsia" w:ascii="宋体" w:hAnsi="宋体" w:cs="宋体"/>
                <w:kern w:val="0"/>
                <w:sz w:val="24"/>
              </w:rPr>
              <w:t>★1.</w:t>
            </w:r>
            <w:r>
              <w:rPr>
                <w:rFonts w:hint="eastAsia"/>
                <w:sz w:val="24"/>
              </w:rPr>
              <w:t>数据库产品通过中国信息安全测评中心、国家保密科技测评中心的安全可靠测评</w:t>
            </w:r>
          </w:p>
          <w:p w14:paraId="059B37F8">
            <w:pPr>
              <w:rPr>
                <w:rFonts w:hint="eastAsia" w:ascii="宋体" w:hAnsi="宋体"/>
              </w:rPr>
            </w:pPr>
            <w:r>
              <w:rPr>
                <w:rFonts w:hint="eastAsia" w:ascii="宋体" w:hAnsi="宋体"/>
              </w:rPr>
              <w:t>2、兼容Oracle标识符使用方式 NQ、nq、Nq、nQ 界定字符串常量，且常量内分隔符可识别多种除除空格、制表符和回车符之外的任意单字节或多字节字符，包括单引号、双引号、quote_delimit（后边不能紧跟单引号）、特殊字符等，且执行返回结果和类型与Oracle 一致。提供具有CMA或CNAS标识的权威检测机构出具的检测报告。</w:t>
            </w:r>
          </w:p>
          <w:p w14:paraId="1A222FDC">
            <w:pPr>
              <w:rPr>
                <w:rFonts w:hint="eastAsia" w:ascii="宋体" w:hAnsi="宋体"/>
              </w:rPr>
            </w:pPr>
            <w:r>
              <w:rPr>
                <w:rFonts w:hint="eastAsia" w:ascii="宋体" w:hAnsi="宋体"/>
              </w:rPr>
              <w:t>3、兼容SQLServer系统存储过程sp_executesql,支持sp_executesql通过使用 参数占位符并在执行时传入真实值的方式，安全地构建和执行动态SQL。提供具有CMA或CNAS标识的权威检测机构出具的检测报告</w:t>
            </w:r>
          </w:p>
          <w:p w14:paraId="2B72B54F">
            <w:pPr>
              <w:rPr>
                <w:rFonts w:hint="eastAsia" w:ascii="宋体" w:hAnsi="宋体"/>
              </w:rPr>
            </w:pPr>
            <w:r>
              <w:rPr>
                <w:rFonts w:hint="eastAsia" w:ascii="宋体" w:hAnsi="宋体"/>
              </w:rPr>
              <w:t>4、数据库支持文本查询并返回相关度评分，提供contains和scores函数。contains函数不依赖创建索引可以进行文本查询，被查询文本或字符串支持 and（&amp;）、or（|）、&lt;-&gt;、not条件连接；scores 函数返回contains查询生成的分数值，支持在查询语句的目标列、排序或分组子句中使用，支持在函数参数、视图、删除和更新语句中使用。提供具有CMA或CNAS标识的权威检测机构出具的检测报告。</w:t>
            </w:r>
          </w:p>
          <w:p w14:paraId="00FDA865">
            <w:pPr>
              <w:rPr>
                <w:rFonts w:hint="eastAsia" w:ascii="宋体" w:hAnsi="宋体"/>
              </w:rPr>
            </w:pPr>
            <w:r>
              <w:rPr>
                <w:rFonts w:hint="eastAsia" w:ascii="宋体" w:hAnsi="宋体"/>
              </w:rPr>
              <w:t>5、OCI接口支持读写分离，可在不改动业务SQL的前提下，将数据库读操作和写操作分流到不同节点处理。包括：支持智能区分读写操作类型，将查询等读语句自动路由至备机；支持精准感知事务上下文，确保写操作及事务内相关语句可正确发往主机；支持集群状态监测机制，可通过设置monitorinterval参数配置监测间隔时间，定时更新在线的主备机状态信息，检测并响应主备角色切换。提供具有CMA或CNAS标识的权威检测机构出具的检测报告</w:t>
            </w:r>
          </w:p>
          <w:p w14:paraId="023FB50F">
            <w:pPr>
              <w:rPr>
                <w:rFonts w:hint="eastAsia" w:ascii="宋体" w:hAnsi="宋体"/>
              </w:rPr>
            </w:pPr>
            <w:r>
              <w:rPr>
                <w:rFonts w:hint="eastAsia" w:ascii="宋体" w:hAnsi="宋体"/>
              </w:rPr>
              <w:t>6、数据库实例初始化时支持oracle、mysql 、sqlserver兼容模式选择以体现广泛的应用兼容能力。</w:t>
            </w:r>
          </w:p>
          <w:p w14:paraId="42F83D76">
            <w:pPr>
              <w:rPr>
                <w:rFonts w:hint="eastAsia" w:ascii="宋体" w:hAnsi="宋体"/>
              </w:rPr>
            </w:pPr>
            <w:r>
              <w:rPr>
                <w:rFonts w:hint="eastAsia" w:ascii="宋体" w:hAnsi="宋体"/>
              </w:rPr>
              <w:t>Oracle 模式下，兼容多种对象的DDL、DML、DQL语句，包括模式、可更新视图、操作符等；支持内置函数，包括大对象函数、日期时间函数、XML 函数和JSON函数。MySQL模式下，兼容特有的创建表对象语法中定义自增列、注释等功能，兼容DML操作的语法。</w:t>
            </w:r>
          </w:p>
          <w:p w14:paraId="02752E85">
            <w:pPr>
              <w:rPr>
                <w:rFonts w:hint="eastAsia" w:ascii="宋体" w:hAnsi="宋体"/>
              </w:rPr>
            </w:pPr>
            <w:r>
              <w:rPr>
                <w:rFonts w:hint="eastAsia" w:ascii="宋体" w:hAnsi="宋体"/>
              </w:rPr>
              <w:t>SQLServer模式下，兼容系统存储过程、系统变量、系统视图、本地临时表、全局临时表、事务和特有的存储过程创建语法。提供国家级权威检测机构出具的检测报告</w:t>
            </w:r>
          </w:p>
          <w:p w14:paraId="3D89B4B0">
            <w:pPr>
              <w:rPr>
                <w:rFonts w:hint="eastAsia" w:ascii="宋体" w:hAnsi="宋体"/>
              </w:rPr>
            </w:pPr>
            <w:r>
              <w:rPr>
                <w:rFonts w:hint="eastAsia" w:ascii="宋体" w:hAnsi="宋体"/>
              </w:rPr>
              <w:t>7、数据库物理备份支持对存储空间容量进行检查预警，可预先设置告警和熔断两个阈值。在执行备份操作时进行检查，当存储空间容量小于告警值大于等于熔断值时，备份或归档开始时产生告警提示，但可继续执行备份或归档操作；当存储空间容量小于熔断值时，直接提醒并退出备份或归档操作。提供具有CMA或CNAS标识的权威检测机构出具的检测报告</w:t>
            </w:r>
          </w:p>
          <w:p w14:paraId="1072EC99">
            <w:pPr>
              <w:rPr>
                <w:rFonts w:hint="eastAsia" w:ascii="宋体" w:hAnsi="宋体"/>
              </w:rPr>
            </w:pPr>
            <w:r>
              <w:rPr>
                <w:rFonts w:hint="eastAsia" w:ascii="宋体" w:hAnsi="宋体"/>
              </w:rPr>
              <w:t>8、支持通过命令行工具并行备份大表数据功能，能够通过参数指定是否启用该并行备份功能，进行并行备份时能够通过输出的日志查看多个备份进程在同时备份同一个大表。命令行备份工具支持在备份时每条执行日志信息前显示执行起始时间，并行备份大表时能够计算每一个并行进程的执行时间。5千万条数据的表在并行备份中，当进程数分别为10、15、20、25、30 时，备份性能逐步提升， 30个进程的效率比10个进程效率提升约300%。提供具有CMA或CNAS标识的权威检测机构出具的检测报告</w:t>
            </w:r>
          </w:p>
          <w:p w14:paraId="0D47F80C">
            <w:pPr>
              <w:rPr>
                <w:rFonts w:hint="eastAsia" w:ascii="宋体" w:hAnsi="宋体"/>
              </w:rPr>
            </w:pPr>
            <w:r>
              <w:rPr>
                <w:rFonts w:hint="eastAsia" w:ascii="宋体" w:hAnsi="宋体"/>
              </w:rPr>
              <w:t>9、支持以动态性能视图的方式对数据库运行过程中的锁指标进行统计，包括：锁名称、加锁模式、加锁次数、等待获得次数、等待未获得次数、非等待获得次数、费等待未获得次数、锁等待时间等。提供具有CMA或CNAS标识的权威检测机构出具的检测报告</w:t>
            </w:r>
          </w:p>
          <w:p w14:paraId="1C3BC7D1">
            <w:pPr>
              <w:rPr>
                <w:rFonts w:hint="eastAsia" w:ascii="宋体" w:hAnsi="宋体"/>
              </w:rPr>
            </w:pPr>
            <w:r>
              <w:rPr>
                <w:rFonts w:hint="eastAsia" w:ascii="宋体" w:hAnsi="宋体"/>
              </w:rPr>
              <w:t>10、支持在国产化平台上进行安装部署，采用一套代码同时兼容多款异构数据库，安装过程中可选择Oracle、Mysql、SQL Server、Postgresql任意一种模式进行初始化，降低运维管控成本。数据库管理系统支持采用一套代码同时兼容多款异构数据库，数据库实例初始化时支持Oracle、Mysql、SQL Server、Postgresql兼容模式选择以体现广泛的应用兼容能力。Oracle 模式下，兼容多种对象的DDL、DML、DQL语句，包括模式、可更新视图、操作符等；支持内置函数，包括大对象函数、日期时间函数、XML 函数和JSON函数。</w:t>
            </w:r>
          </w:p>
          <w:p w14:paraId="16E9EDD3">
            <w:pPr>
              <w:rPr>
                <w:rFonts w:hint="eastAsia" w:ascii="宋体" w:hAnsi="宋体"/>
              </w:rPr>
            </w:pPr>
            <w:r>
              <w:rPr>
                <w:rFonts w:hint="eastAsia" w:ascii="宋体" w:hAnsi="宋体"/>
              </w:rPr>
              <w:t>MySQL模式下，兼容特有的创建表对象语法中定义自增列、注释等功能，兼容DML操作的语法。SQLServer模式下，兼容系统存储过程、系统变量、系统视图、本地临时表、全局临时表、事务和特有的存储过程创建语法。Postgresql模式下，兼容数据类型包括伪类型、枚举类型、JSONB类型，内置函数及PLpgSQL创建等。提供具有CMA或CNAS标识的权威检测机构出具的检测报告</w:t>
            </w:r>
          </w:p>
          <w:p w14:paraId="76193E60">
            <w:pPr>
              <w:rPr>
                <w:rFonts w:hint="eastAsia" w:ascii="宋体" w:hAnsi="宋体" w:cs="宋体"/>
                <w:kern w:val="0"/>
                <w:szCs w:val="21"/>
              </w:rPr>
            </w:pPr>
            <w:r>
              <w:rPr>
                <w:rFonts w:hint="eastAsia" w:ascii="宋体" w:hAnsi="宋体"/>
              </w:rPr>
              <w:t>11、交付要求：合同签署完成后，需3日内到货，5日内完成安装部署测试、数据迁移、上线运行，如不能满足，甲方有权停止合作，及更换符合条件的供应商。采购本数据库需</w:t>
            </w:r>
            <w:r>
              <w:rPr>
                <w:rFonts w:hint="eastAsia" w:ascii="宋体" w:hAnsi="宋体" w:cs="宋体"/>
                <w:kern w:val="0"/>
                <w:szCs w:val="21"/>
              </w:rPr>
              <w:t>支持适配天津法院智慧庭审软件，如有其他适配费用全部由供应商负责</w:t>
            </w:r>
          </w:p>
          <w:p w14:paraId="426E2CB1">
            <w:pPr>
              <w:rPr>
                <w:rFonts w:ascii="宋体" w:hAnsi="宋体" w:cs="宋体"/>
                <w:kern w:val="0"/>
                <w:szCs w:val="21"/>
              </w:rPr>
            </w:pPr>
            <w:r>
              <w:rPr>
                <w:rFonts w:hint="eastAsia" w:ascii="宋体" w:hAnsi="宋体"/>
              </w:rPr>
              <w:t>12、运维保障要求：为保证项目正常运行，供应商应提供7*24小时上门服务，且不少于15人天的驻场服务，包括但不限于：版本升级、故障排除、巡检、客户培训等，如不能满足，甲方有权停止合作，及更换符合条件的供应商。</w:t>
            </w:r>
          </w:p>
          <w:p w14:paraId="45B30E03">
            <w:pPr>
              <w:widowControl/>
              <w:spacing w:line="360" w:lineRule="auto"/>
              <w:jc w:val="left"/>
              <w:rPr>
                <w:rFonts w:hint="eastAsia"/>
              </w:rPr>
            </w:pPr>
            <w:r>
              <w:rPr>
                <w:rFonts w:hint="eastAsia" w:ascii="宋体" w:hAnsi="宋体" w:cs="宋体"/>
                <w:kern w:val="0"/>
                <w:sz w:val="24"/>
              </w:rPr>
              <w:t>★13.其余参数应满足《数据库政府采购需求标准（2023年版）》(财库〔2023〕35号)中的全部标注“*”规定。”</w:t>
            </w:r>
          </w:p>
        </w:tc>
      </w:tr>
      <w:tr w14:paraId="740E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vAlign w:val="center"/>
          </w:tcPr>
          <w:p w14:paraId="43A60DA2">
            <w:pPr>
              <w:widowControl/>
              <w:spacing w:line="360" w:lineRule="auto"/>
              <w:jc w:val="center"/>
              <w:rPr>
                <w:rFonts w:hint="eastAsia" w:ascii="宋体" w:hAnsi="宋体" w:cs="宋体"/>
                <w:kern w:val="0"/>
                <w:sz w:val="24"/>
              </w:rPr>
            </w:pPr>
            <w:r>
              <w:rPr>
                <w:rFonts w:hint="eastAsia" w:ascii="宋体" w:hAnsi="宋体" w:cs="宋体"/>
                <w:kern w:val="0"/>
                <w:sz w:val="24"/>
              </w:rPr>
              <w:t>4</w:t>
            </w:r>
          </w:p>
        </w:tc>
        <w:tc>
          <w:tcPr>
            <w:tcW w:w="956" w:type="dxa"/>
            <w:tcBorders>
              <w:top w:val="single" w:color="auto" w:sz="4" w:space="0"/>
              <w:left w:val="single" w:color="auto" w:sz="4" w:space="0"/>
              <w:bottom w:val="single" w:color="auto" w:sz="4" w:space="0"/>
              <w:right w:val="single" w:color="auto" w:sz="4" w:space="0"/>
            </w:tcBorders>
            <w:vAlign w:val="center"/>
          </w:tcPr>
          <w:p w14:paraId="657C4DBD">
            <w:pPr>
              <w:widowControl/>
              <w:spacing w:line="360" w:lineRule="auto"/>
              <w:jc w:val="center"/>
              <w:rPr>
                <w:rFonts w:hint="eastAsia" w:ascii="宋体" w:hAnsi="宋体" w:cs="宋体"/>
                <w:kern w:val="0"/>
                <w:sz w:val="24"/>
              </w:rPr>
            </w:pPr>
            <w:r>
              <w:rPr>
                <w:rFonts w:hint="eastAsia" w:ascii="宋体" w:hAnsi="宋体" w:cs="宋体"/>
                <w:kern w:val="0"/>
                <w:sz w:val="24"/>
              </w:rPr>
              <w:t>中间件软件</w:t>
            </w:r>
          </w:p>
        </w:tc>
        <w:tc>
          <w:tcPr>
            <w:tcW w:w="912" w:type="dxa"/>
            <w:tcBorders>
              <w:top w:val="single" w:color="auto" w:sz="4" w:space="0"/>
              <w:left w:val="single" w:color="auto" w:sz="4" w:space="0"/>
              <w:bottom w:val="single" w:color="auto" w:sz="4" w:space="0"/>
              <w:right w:val="single" w:color="auto" w:sz="4" w:space="0"/>
            </w:tcBorders>
            <w:vAlign w:val="center"/>
          </w:tcPr>
          <w:p w14:paraId="72AE12EB">
            <w:pPr>
              <w:spacing w:line="360" w:lineRule="auto"/>
              <w:jc w:val="center"/>
              <w:rPr>
                <w:rFonts w:hint="eastAsia" w:ascii="宋体" w:hAnsi="宋体" w:cs="宋体"/>
                <w:kern w:val="0"/>
                <w:sz w:val="24"/>
              </w:rPr>
            </w:pPr>
            <w:r>
              <w:rPr>
                <w:rFonts w:hint="eastAsia" w:ascii="宋体" w:hAnsi="宋体" w:cs="宋体"/>
                <w:kern w:val="0"/>
                <w:sz w:val="24"/>
              </w:rPr>
              <w:t>1</w:t>
            </w:r>
          </w:p>
        </w:tc>
        <w:tc>
          <w:tcPr>
            <w:tcW w:w="544" w:type="dxa"/>
            <w:tcBorders>
              <w:top w:val="single" w:color="auto" w:sz="4" w:space="0"/>
              <w:left w:val="single" w:color="auto" w:sz="4" w:space="0"/>
              <w:bottom w:val="single" w:color="auto" w:sz="4" w:space="0"/>
              <w:right w:val="single" w:color="auto" w:sz="4" w:space="0"/>
            </w:tcBorders>
            <w:vAlign w:val="center"/>
          </w:tcPr>
          <w:p w14:paraId="12BA0FF6">
            <w:pPr>
              <w:spacing w:line="360" w:lineRule="auto"/>
              <w:jc w:val="center"/>
              <w:rPr>
                <w:rFonts w:hint="eastAsia" w:ascii="宋体" w:hAnsi="宋体" w:cs="宋体"/>
                <w:kern w:val="0"/>
                <w:sz w:val="24"/>
              </w:rPr>
            </w:pPr>
            <w:r>
              <w:rPr>
                <w:rFonts w:hint="eastAsia" w:ascii="宋体" w:hAnsi="宋体" w:cs="宋体"/>
                <w:kern w:val="0"/>
                <w:sz w:val="24"/>
              </w:rPr>
              <w:t>套</w:t>
            </w:r>
          </w:p>
        </w:tc>
        <w:tc>
          <w:tcPr>
            <w:tcW w:w="6016" w:type="dxa"/>
            <w:tcBorders>
              <w:top w:val="single" w:color="auto" w:sz="4" w:space="0"/>
              <w:left w:val="single" w:color="auto" w:sz="4" w:space="0"/>
              <w:bottom w:val="single" w:color="auto" w:sz="4" w:space="0"/>
              <w:right w:val="single" w:color="auto" w:sz="4" w:space="0"/>
            </w:tcBorders>
            <w:vAlign w:val="center"/>
          </w:tcPr>
          <w:p w14:paraId="4BB0403F">
            <w:pPr>
              <w:widowControl/>
              <w:jc w:val="left"/>
              <w:rPr>
                <w:rFonts w:ascii="宋体" w:hAnsi="宋体" w:cs="宋体"/>
                <w:color w:val="000000"/>
                <w:kern w:val="0"/>
                <w:sz w:val="24"/>
              </w:rPr>
            </w:pPr>
          </w:p>
          <w:p w14:paraId="7E224F77">
            <w:pPr>
              <w:widowControl/>
              <w:jc w:val="left"/>
              <w:rPr>
                <w:rFonts w:hint="eastAsia" w:ascii="宋体" w:hAnsi="宋体" w:cs="宋体"/>
                <w:sz w:val="24"/>
              </w:rPr>
            </w:pPr>
            <w:r>
              <w:rPr>
                <w:rFonts w:hint="eastAsia" w:ascii="宋体" w:hAnsi="宋体" w:cs="宋体"/>
                <w:sz w:val="24"/>
              </w:rPr>
              <w:t>功能要求：</w:t>
            </w:r>
          </w:p>
          <w:p w14:paraId="373D1855">
            <w:pPr>
              <w:widowControl/>
              <w:jc w:val="left"/>
              <w:rPr>
                <w:rFonts w:ascii="宋体" w:hAnsi="宋体" w:cs="宋体"/>
                <w:color w:val="000000"/>
                <w:kern w:val="0"/>
                <w:sz w:val="24"/>
              </w:rPr>
            </w:pPr>
            <w:r>
              <w:rPr>
                <w:rFonts w:ascii="宋体" w:hAnsi="宋体" w:cs="宋体"/>
                <w:color w:val="000000"/>
                <w:kern w:val="0"/>
                <w:sz w:val="24"/>
              </w:rPr>
              <w:t>1.兼容多种通过安全可靠测评结果的主流CPU芯片，如飞腾、海光、龙芯、兆芯、申威等；</w:t>
            </w:r>
          </w:p>
          <w:p w14:paraId="130E6BD0">
            <w:pPr>
              <w:widowControl/>
              <w:jc w:val="left"/>
              <w:rPr>
                <w:rFonts w:ascii="宋体" w:hAnsi="宋体" w:cs="宋体"/>
                <w:color w:val="000000"/>
                <w:kern w:val="0"/>
                <w:sz w:val="24"/>
              </w:rPr>
            </w:pPr>
            <w:r>
              <w:rPr>
                <w:rFonts w:ascii="宋体" w:hAnsi="宋体" w:cs="宋体"/>
                <w:color w:val="000000"/>
                <w:kern w:val="0"/>
                <w:sz w:val="24"/>
              </w:rPr>
              <w:t>2.兼容多种通过安全可靠测评结果的主流国产操作系统，如麒麟、统信等；</w:t>
            </w:r>
          </w:p>
          <w:p w14:paraId="588A3204">
            <w:pPr>
              <w:widowControl/>
              <w:jc w:val="left"/>
              <w:rPr>
                <w:rFonts w:ascii="宋体" w:hAnsi="宋体" w:cs="宋体"/>
                <w:color w:val="000000"/>
                <w:kern w:val="0"/>
                <w:sz w:val="24"/>
              </w:rPr>
            </w:pPr>
            <w:r>
              <w:rPr>
                <w:rFonts w:ascii="宋体" w:hAnsi="宋体" w:cs="宋体"/>
                <w:color w:val="000000"/>
                <w:kern w:val="0"/>
                <w:sz w:val="24"/>
              </w:rPr>
              <w:t>3.兼容多种通过安全可靠测评结果的主流国产数据库系统，如达梦、金仓、优炫等；</w:t>
            </w:r>
          </w:p>
          <w:p w14:paraId="3615C478">
            <w:pPr>
              <w:widowControl/>
              <w:jc w:val="left"/>
              <w:rPr>
                <w:rFonts w:ascii="宋体" w:hAnsi="宋体" w:cs="宋体"/>
                <w:color w:val="000000"/>
                <w:kern w:val="0"/>
                <w:sz w:val="24"/>
              </w:rPr>
            </w:pPr>
            <w:r>
              <w:rPr>
                <w:rFonts w:ascii="宋体" w:hAnsi="宋体" w:cs="宋体"/>
                <w:color w:val="000000"/>
                <w:kern w:val="0"/>
                <w:sz w:val="24"/>
              </w:rPr>
              <w:t>4.产品具备同一安装文件支持主流的“芯片+操作系统”技术路线，更换平台不需更换安装文件，支持一键式安装命令，且安装文件中自带负载均衡功能，使用时开启即可，不需额外安装部署；</w:t>
            </w:r>
          </w:p>
          <w:p w14:paraId="172C9642">
            <w:pPr>
              <w:widowControl/>
              <w:jc w:val="left"/>
              <w:rPr>
                <w:rFonts w:ascii="宋体" w:hAnsi="宋体" w:cs="宋体"/>
                <w:color w:val="000000"/>
                <w:kern w:val="0"/>
                <w:sz w:val="24"/>
              </w:rPr>
            </w:pPr>
            <w:r>
              <w:rPr>
                <w:rFonts w:ascii="宋体" w:hAnsi="宋体" w:cs="宋体"/>
                <w:color w:val="000000"/>
                <w:kern w:val="0"/>
                <w:sz w:val="24"/>
              </w:rPr>
              <w:t>5.具备中间件的基本功能，包括数据库连接服务、应用部署、虚拟主机、以第三方Web服务器连接、管理工具、日志审计等功能，拥有高性能，高并发的能力，具有可靠性、易恢复性、易监控性、易维护性的特点，为应用提供安全、高效、稳定的基础支撑环境；</w:t>
            </w:r>
          </w:p>
          <w:p w14:paraId="3801DF5D">
            <w:pPr>
              <w:widowControl/>
              <w:jc w:val="left"/>
              <w:rPr>
                <w:rFonts w:ascii="宋体" w:hAnsi="宋体" w:cs="宋体"/>
                <w:color w:val="000000"/>
                <w:kern w:val="0"/>
                <w:sz w:val="24"/>
              </w:rPr>
            </w:pPr>
            <w:r>
              <w:rPr>
                <w:rFonts w:ascii="宋体" w:hAnsi="宋体" w:cs="宋体"/>
                <w:color w:val="000000"/>
                <w:kern w:val="0"/>
                <w:sz w:val="24"/>
              </w:rPr>
              <w:t>6.内置安全防护功能，通过对应用无侵入的方式进行防御，为应用提供运行时安全防护功能；</w:t>
            </w:r>
          </w:p>
          <w:p w14:paraId="6EC9A501">
            <w:pPr>
              <w:widowControl/>
              <w:jc w:val="left"/>
              <w:rPr>
                <w:rFonts w:ascii="宋体" w:hAnsi="宋体" w:cs="宋体"/>
                <w:color w:val="000000"/>
                <w:kern w:val="0"/>
                <w:sz w:val="24"/>
              </w:rPr>
            </w:pPr>
            <w:r>
              <w:rPr>
                <w:rFonts w:ascii="宋体" w:hAnsi="宋体" w:cs="宋体"/>
                <w:color w:val="000000"/>
                <w:kern w:val="0"/>
                <w:sz w:val="24"/>
              </w:rPr>
              <w:t>7.具备应用防篡改功能，能够根据配置为应用的文件生成签名信息，能够自动恢复被篡改的文件内容，并且提供篡改记录的Web展示；</w:t>
            </w:r>
          </w:p>
          <w:p w14:paraId="65DC2241">
            <w:pPr>
              <w:widowControl/>
              <w:jc w:val="left"/>
              <w:rPr>
                <w:rFonts w:ascii="宋体" w:hAnsi="宋体" w:cs="宋体"/>
                <w:color w:val="000000"/>
                <w:kern w:val="0"/>
                <w:sz w:val="24"/>
              </w:rPr>
            </w:pPr>
            <w:r>
              <w:rPr>
                <w:rFonts w:ascii="宋体" w:hAnsi="宋体" w:cs="宋体"/>
                <w:color w:val="000000"/>
                <w:kern w:val="0"/>
                <w:sz w:val="24"/>
              </w:rPr>
              <w:t>8.提供内置类加载冲突检测工具，通过检测工具可以在线生成类冲突检测报告；</w:t>
            </w:r>
          </w:p>
          <w:p w14:paraId="0B49B6A0">
            <w:pPr>
              <w:widowControl/>
              <w:jc w:val="left"/>
              <w:rPr>
                <w:rFonts w:ascii="宋体" w:hAnsi="宋体" w:cs="宋体"/>
                <w:color w:val="000000"/>
                <w:kern w:val="0"/>
                <w:sz w:val="24"/>
              </w:rPr>
            </w:pPr>
            <w:r>
              <w:rPr>
                <w:rFonts w:ascii="宋体" w:hAnsi="宋体" w:cs="宋体"/>
                <w:color w:val="000000"/>
                <w:kern w:val="0"/>
                <w:sz w:val="24"/>
              </w:rPr>
              <w:t>9.支持SSL、TLS协议，可配置协议版本禁用，密码套件策略。</w:t>
            </w:r>
          </w:p>
          <w:p w14:paraId="3A4E8F30">
            <w:pPr>
              <w:widowControl/>
              <w:jc w:val="left"/>
              <w:rPr>
                <w:rFonts w:hint="eastAsia" w:ascii="宋体" w:hAnsi="宋体" w:cs="宋体"/>
                <w:color w:val="000000"/>
                <w:kern w:val="0"/>
                <w:sz w:val="24"/>
              </w:rPr>
            </w:pPr>
            <w:r>
              <w:rPr>
                <w:rFonts w:ascii="宋体" w:hAnsi="宋体" w:cs="宋体"/>
                <w:kern w:val="0"/>
                <w:sz w:val="24"/>
              </w:rPr>
              <w:t>10.</w:t>
            </w:r>
            <w:r>
              <w:rPr>
                <w:rFonts w:hint="eastAsia" w:ascii="宋体" w:hAnsi="宋体" w:cs="宋体"/>
                <w:kern w:val="0"/>
                <w:sz w:val="24"/>
              </w:rPr>
              <w:t>支持适配天津法院智慧庭审软件，实现跨平台兼容与功能扩展。</w:t>
            </w:r>
          </w:p>
        </w:tc>
      </w:tr>
    </w:tbl>
    <w:p w14:paraId="74017646">
      <w:pPr>
        <w:pStyle w:val="7"/>
        <w:ind w:firstLine="420" w:firstLineChars="175"/>
        <w:rPr>
          <w:rFonts w:ascii="宋体" w:hAnsi="宋体" w:eastAsia="宋体"/>
        </w:rPr>
      </w:pPr>
    </w:p>
    <w:p w14:paraId="4C210381">
      <w:pPr>
        <w:pStyle w:val="7"/>
        <w:ind w:firstLine="420" w:firstLineChars="175"/>
        <w:rPr>
          <w:rFonts w:ascii="宋体" w:hAnsi="宋体" w:eastAsia="宋体"/>
        </w:rPr>
      </w:pPr>
    </w:p>
    <w:p w14:paraId="13B5CF85">
      <w:pPr>
        <w:pStyle w:val="7"/>
        <w:ind w:firstLine="420" w:firstLineChars="175"/>
        <w:rPr>
          <w:rFonts w:ascii="宋体" w:hAnsi="宋体" w:eastAsia="宋体"/>
        </w:rPr>
      </w:pPr>
    </w:p>
    <w:p w14:paraId="121B0936">
      <w:pPr>
        <w:pStyle w:val="2"/>
        <w:spacing w:line="360" w:lineRule="auto"/>
        <w:ind w:firstLine="420" w:firstLineChars="175"/>
        <w:outlineLvl w:val="0"/>
        <w:rPr>
          <w:rFonts w:ascii="宋体" w:hAnsi="宋体"/>
          <w:sz w:val="24"/>
        </w:rPr>
      </w:pPr>
      <w:r>
        <w:rPr>
          <w:rFonts w:hint="eastAsia" w:ascii="宋体" w:hAnsi="宋体"/>
          <w:sz w:val="24"/>
        </w:rPr>
        <w:t>三、服务要求</w:t>
      </w:r>
    </w:p>
    <w:p w14:paraId="5D109FBC">
      <w:pPr>
        <w:pStyle w:val="2"/>
        <w:spacing w:line="360" w:lineRule="auto"/>
        <w:ind w:firstLine="420" w:firstLineChars="175"/>
        <w:rPr>
          <w:rFonts w:ascii="宋体" w:hAnsi="宋体"/>
          <w:sz w:val="24"/>
        </w:rPr>
      </w:pPr>
      <w:r>
        <w:rPr>
          <w:rFonts w:hint="eastAsia" w:ascii="宋体" w:hAnsi="宋体"/>
          <w:sz w:val="24"/>
        </w:rPr>
        <w:t>投标人应提供现场技术培训，对产品的原理、操作、维护、维修和保养等相关培训；投标人为用户提供产品终身技术服务，确保采购人能正确使用与维护、保养设备。</w:t>
      </w:r>
    </w:p>
    <w:p w14:paraId="651D6022">
      <w:pPr>
        <w:pStyle w:val="2"/>
        <w:spacing w:line="360" w:lineRule="auto"/>
        <w:ind w:firstLine="420" w:firstLineChars="175"/>
        <w:rPr>
          <w:rFonts w:ascii="宋体" w:hAnsi="宋体"/>
          <w:sz w:val="24"/>
        </w:rPr>
      </w:pPr>
      <w:r>
        <w:rPr>
          <w:rFonts w:hint="eastAsia" w:ascii="宋体" w:hAnsi="宋体"/>
          <w:sz w:val="24"/>
        </w:rPr>
        <w:t>投标人根据技术文件中的培训要求，提供项目整体培训方案，包括：</w:t>
      </w:r>
    </w:p>
    <w:p w14:paraId="241DEC5F">
      <w:pPr>
        <w:pStyle w:val="2"/>
        <w:spacing w:line="360" w:lineRule="auto"/>
        <w:ind w:firstLine="420" w:firstLineChars="175"/>
        <w:rPr>
          <w:rFonts w:ascii="宋体" w:hAnsi="宋体"/>
          <w:sz w:val="24"/>
        </w:rPr>
      </w:pPr>
      <w:r>
        <w:rPr>
          <w:rFonts w:hint="eastAsia" w:ascii="宋体" w:hAnsi="宋体"/>
          <w:sz w:val="24"/>
        </w:rPr>
        <w:t>①提供完善的培训体系</w:t>
      </w:r>
    </w:p>
    <w:p w14:paraId="36183259">
      <w:pPr>
        <w:pStyle w:val="2"/>
        <w:spacing w:line="360" w:lineRule="auto"/>
        <w:ind w:firstLine="420" w:firstLineChars="175"/>
        <w:rPr>
          <w:rFonts w:ascii="宋体" w:hAnsi="宋体"/>
          <w:sz w:val="24"/>
        </w:rPr>
      </w:pPr>
      <w:r>
        <w:rPr>
          <w:rFonts w:hint="eastAsia" w:ascii="宋体" w:hAnsi="宋体"/>
          <w:sz w:val="24"/>
        </w:rPr>
        <w:t>②培训目的及培训计划</w:t>
      </w:r>
    </w:p>
    <w:p w14:paraId="498A5B6A">
      <w:pPr>
        <w:pStyle w:val="2"/>
        <w:spacing w:line="360" w:lineRule="auto"/>
        <w:ind w:firstLine="420" w:firstLineChars="175"/>
        <w:rPr>
          <w:rFonts w:ascii="宋体" w:hAnsi="宋体"/>
          <w:sz w:val="24"/>
        </w:rPr>
      </w:pPr>
      <w:r>
        <w:rPr>
          <w:rFonts w:hint="eastAsia" w:ascii="宋体" w:hAnsi="宋体"/>
          <w:sz w:val="24"/>
        </w:rPr>
        <w:t>③提供有针对性的培训方式、培训内容</w:t>
      </w:r>
    </w:p>
    <w:p w14:paraId="3D6329DA">
      <w:pPr>
        <w:pStyle w:val="2"/>
        <w:spacing w:line="360" w:lineRule="auto"/>
        <w:ind w:firstLine="420" w:firstLineChars="175"/>
        <w:rPr>
          <w:rFonts w:ascii="宋体" w:hAnsi="宋体"/>
          <w:sz w:val="24"/>
        </w:rPr>
      </w:pPr>
      <w:r>
        <w:rPr>
          <w:rFonts w:hint="eastAsia" w:ascii="宋体" w:hAnsi="宋体"/>
          <w:sz w:val="24"/>
        </w:rPr>
        <w:t>④制定培训质量评估和验证机制</w:t>
      </w:r>
    </w:p>
    <w:p w14:paraId="2E6CC0C3">
      <w:pPr>
        <w:pStyle w:val="2"/>
        <w:spacing w:line="360" w:lineRule="auto"/>
        <w:ind w:firstLine="420" w:firstLineChars="175"/>
        <w:rPr>
          <w:rFonts w:ascii="宋体" w:hAnsi="宋体"/>
          <w:sz w:val="24"/>
        </w:rPr>
      </w:pPr>
      <w:r>
        <w:rPr>
          <w:rFonts w:hint="eastAsia" w:ascii="宋体" w:hAnsi="宋体"/>
          <w:sz w:val="24"/>
        </w:rPr>
        <w:t>培训对象：天津市河北区人民法院运维技术人员及使用人员。</w:t>
      </w:r>
    </w:p>
    <w:p w14:paraId="019D07FA">
      <w:pPr>
        <w:pStyle w:val="2"/>
        <w:spacing w:line="360" w:lineRule="auto"/>
        <w:ind w:firstLine="420" w:firstLineChars="175"/>
        <w:rPr>
          <w:rFonts w:ascii="宋体" w:hAnsi="宋体"/>
          <w:sz w:val="24"/>
        </w:rPr>
      </w:pPr>
      <w:r>
        <w:rPr>
          <w:rFonts w:hint="eastAsia" w:ascii="宋体" w:hAnsi="宋体"/>
          <w:sz w:val="24"/>
        </w:rPr>
        <w:t>培训内容：项目交付的所有软、硬件操作流程、日常维护、常见故障处理及安全策略配置。</w:t>
      </w:r>
    </w:p>
    <w:p w14:paraId="6B74C8C7">
      <w:pPr>
        <w:pStyle w:val="2"/>
        <w:spacing w:line="360" w:lineRule="auto"/>
        <w:ind w:firstLine="420" w:firstLineChars="175"/>
        <w:rPr>
          <w:rFonts w:ascii="宋体" w:hAnsi="宋体"/>
          <w:sz w:val="24"/>
        </w:rPr>
      </w:pPr>
      <w:r>
        <w:rPr>
          <w:rFonts w:hint="eastAsia" w:ascii="宋体" w:hAnsi="宋体"/>
          <w:sz w:val="24"/>
        </w:rPr>
        <w:t>培训形式：现场实操培训与远程指导相结合，提供操作手册。</w:t>
      </w:r>
    </w:p>
    <w:p w14:paraId="570BAA5B">
      <w:pPr>
        <w:pStyle w:val="2"/>
        <w:spacing w:line="360" w:lineRule="auto"/>
        <w:ind w:firstLine="420" w:firstLineChars="175"/>
        <w:rPr>
          <w:rFonts w:ascii="宋体" w:hAnsi="宋体"/>
          <w:sz w:val="24"/>
        </w:rPr>
      </w:pPr>
      <w:r>
        <w:rPr>
          <w:rFonts w:hint="eastAsia" w:ascii="宋体" w:hAnsi="宋体"/>
          <w:sz w:val="24"/>
        </w:rPr>
        <w:t>考核要求：通过实操测试确保受训人员掌握基础操作及应急处理能力。</w:t>
      </w:r>
    </w:p>
    <w:p w14:paraId="619AA76C">
      <w:pPr>
        <w:pStyle w:val="2"/>
        <w:spacing w:line="360" w:lineRule="auto"/>
        <w:ind w:firstLine="420" w:firstLineChars="175"/>
        <w:rPr>
          <w:rFonts w:ascii="宋体" w:hAnsi="宋体"/>
          <w:sz w:val="24"/>
        </w:rPr>
      </w:pPr>
      <w:r>
        <w:rPr>
          <w:rFonts w:hint="eastAsia" w:ascii="宋体" w:hAnsi="宋体"/>
          <w:sz w:val="24"/>
        </w:rPr>
        <w:t>培训时间：项目验收前完成培训工作，培训时间不低于4小时。</w:t>
      </w:r>
    </w:p>
    <w:p w14:paraId="2D696482">
      <w:pPr>
        <w:numPr>
          <w:ilvl w:val="0"/>
          <w:numId w:val="2"/>
        </w:numPr>
        <w:rPr>
          <w:rFonts w:hint="eastAsia"/>
        </w:rPr>
      </w:pPr>
      <w:r>
        <w:rPr>
          <w:rFonts w:hint="eastAsia"/>
        </w:rPr>
        <w:t>预算</w:t>
      </w:r>
    </w:p>
    <w:p w14:paraId="6C52D22A">
      <w:pPr>
        <w:pStyle w:val="2"/>
        <w:spacing w:line="360" w:lineRule="auto"/>
        <w:ind w:firstLine="420" w:firstLineChars="175"/>
        <w:rPr>
          <w:rFonts w:hint="eastAsia" w:ascii="宋体" w:hAnsi="宋体"/>
          <w:sz w:val="24"/>
        </w:rPr>
      </w:pPr>
      <w:r>
        <w:rPr>
          <w:rFonts w:hint="eastAsia" w:ascii="宋体" w:hAnsi="宋体"/>
          <w:sz w:val="24"/>
        </w:rPr>
        <w:t>9万元</w:t>
      </w:r>
    </w:p>
    <w:p w14:paraId="5E6725BB">
      <w:pPr>
        <w:numPr>
          <w:ilvl w:val="0"/>
          <w:numId w:val="2"/>
        </w:numPr>
        <w:rPr>
          <w:rFonts w:hint="eastAsia"/>
        </w:rPr>
      </w:pPr>
      <w:r>
        <w:rPr>
          <w:rFonts w:hint="eastAsia"/>
        </w:rPr>
        <w:t>质保期</w:t>
      </w:r>
    </w:p>
    <w:p w14:paraId="5B5C8976">
      <w:pPr>
        <w:pStyle w:val="2"/>
        <w:spacing w:line="360" w:lineRule="auto"/>
        <w:ind w:firstLine="420" w:firstLineChars="175"/>
        <w:rPr>
          <w:rFonts w:hint="eastAsia"/>
        </w:rPr>
      </w:pPr>
      <w:r>
        <w:rPr>
          <w:rFonts w:ascii="宋体" w:hAnsi="宋体"/>
          <w:sz w:val="24"/>
        </w:rPr>
        <w:t>供应商在中标并签署合同后，应在签署合同后</w:t>
      </w:r>
      <w:r>
        <w:rPr>
          <w:rFonts w:hint="eastAsia" w:ascii="宋体" w:hAnsi="宋体"/>
          <w:sz w:val="24"/>
        </w:rPr>
        <w:t>7</w:t>
      </w:r>
      <w:r>
        <w:rPr>
          <w:rFonts w:ascii="宋体" w:hAnsi="宋体"/>
          <w:sz w:val="24"/>
        </w:rPr>
        <w:t>个</w:t>
      </w:r>
      <w:r>
        <w:rPr>
          <w:rFonts w:hint="eastAsia" w:ascii="宋体" w:hAnsi="宋体"/>
          <w:sz w:val="24"/>
        </w:rPr>
        <w:t>工作日</w:t>
      </w:r>
      <w:r>
        <w:rPr>
          <w:rFonts w:ascii="宋体" w:hAnsi="宋体"/>
          <w:sz w:val="24"/>
        </w:rPr>
        <w:t>内完成</w:t>
      </w:r>
      <w:r>
        <w:rPr>
          <w:rFonts w:hint="eastAsia" w:ascii="宋体" w:hAnsi="宋体"/>
          <w:sz w:val="24"/>
        </w:rPr>
        <w:t>天津市河北区人民法院数据库、中间件安装</w:t>
      </w:r>
      <w:r>
        <w:rPr>
          <w:rFonts w:ascii="宋体" w:hAnsi="宋体"/>
          <w:sz w:val="24"/>
        </w:rPr>
        <w:t>调试。供应商应提供全项目</w:t>
      </w:r>
      <w:r>
        <w:rPr>
          <w:rFonts w:hint="eastAsia" w:ascii="宋体" w:hAnsi="宋体"/>
          <w:sz w:val="24"/>
        </w:rPr>
        <w:t>1</w:t>
      </w:r>
      <w:r>
        <w:rPr>
          <w:rFonts w:ascii="宋体" w:hAnsi="宋体"/>
          <w:sz w:val="24"/>
        </w:rPr>
        <w:t>年免费质量保证服务，服务期从系统最终验收之日起计算。</w:t>
      </w:r>
    </w:p>
    <w:p w14:paraId="76337185">
      <w:pPr>
        <w:rPr>
          <w:rFonts w:hint="eastAsia"/>
        </w:rPr>
      </w:pPr>
    </w:p>
    <w:p w14:paraId="6FC8D1C9">
      <w:pPr>
        <w:rPr>
          <w:rFonts w:hint="eastAsia"/>
        </w:rPr>
      </w:pPr>
    </w:p>
    <w:p w14:paraId="74BB22A8">
      <w:pPr>
        <w:rPr>
          <w:rFonts w:hint="eastAsia"/>
        </w:rPr>
      </w:pPr>
    </w:p>
    <w:p w14:paraId="1CF7BF2B"/>
    <w:p w14:paraId="2DA8E9A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dern No. 20">
    <w:panose1 w:val="02070704070505020303"/>
    <w:charset w:val="00"/>
    <w:family w:val="roman"/>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C4A62"/>
    <w:multiLevelType w:val="singleLevel"/>
    <w:tmpl w:val="931C4A62"/>
    <w:lvl w:ilvl="0" w:tentative="0">
      <w:start w:val="4"/>
      <w:numFmt w:val="chineseCounting"/>
      <w:suff w:val="nothing"/>
      <w:lvlText w:val="%1、"/>
      <w:lvlJc w:val="left"/>
      <w:rPr>
        <w:rFonts w:hint="eastAsia"/>
      </w:rPr>
    </w:lvl>
  </w:abstractNum>
  <w:abstractNum w:abstractNumId="1">
    <w:nsid w:val="DAD5F6FF"/>
    <w:multiLevelType w:val="singleLevel"/>
    <w:tmpl w:val="DAD5F6F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F2B"/>
    <w:rsid w:val="00272F2B"/>
    <w:rsid w:val="00C67BB3"/>
    <w:rsid w:val="05BA765D"/>
    <w:rsid w:val="3A124F7B"/>
    <w:rsid w:val="50F82852"/>
    <w:rsid w:val="61D15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Modern No. 20" w:hAnsi="Modern No. 20" w:eastAsia="Modern No. 20" w:cs="Modern No. 20"/>
      <w:color w:val="000000"/>
      <w:sz w:val="24"/>
      <w:szCs w:val="24"/>
      <w:lang w:val="en-US" w:eastAsia="zh-CN" w:bidi="ar-SA"/>
    </w:rPr>
  </w:style>
  <w:style w:type="character" w:customStyle="1" w:styleId="8">
    <w:name w:val="页眉 Char"/>
    <w:basedOn w:val="6"/>
    <w:link w:val="4"/>
    <w:uiPriority w:val="0"/>
    <w:rPr>
      <w:kern w:val="2"/>
      <w:sz w:val="18"/>
      <w:szCs w:val="18"/>
    </w:rPr>
  </w:style>
  <w:style w:type="character" w:customStyle="1" w:styleId="9">
    <w:name w:val="页脚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3454</Words>
  <Characters>3829</Characters>
  <Lines>27</Lines>
  <Paragraphs>7</Paragraphs>
  <TotalTime>4</TotalTime>
  <ScaleCrop>false</ScaleCrop>
  <LinksUpToDate>false</LinksUpToDate>
  <CharactersWithSpaces>3845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2026-06-29T06:45:00Z</dcterms:created>
  <dc:creator>13312</dc:creator>
  <cp:lastModifiedBy>Lin</cp:lastModifiedBy>
  <dcterms:modified xsi:type="dcterms:W3CDTF">2026-06-29T06:56:31Z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eyJoZGlkIjoiMzliYmY5MmJlYTJlMmVlYTNiYzVkYTliY2ZmZWY2ZTIiLCJ1c2VySWQiOiIyNzg2MDU0MDMifQ==</vt:lpwstr>
  </property>
  <property fmtid="{D5CDD505-2E9C-101B-9397-08002B2CF9AE}" pid="4" name="ICV">
    <vt:lpwstr>35BACADA3C0E4D9898ADC1BE969FD134_13</vt:lpwstr>
  </property>
</Properties>
</file>